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E6" w:rsidRDefault="000906E6" w:rsidP="00DB2554">
      <w:pPr>
        <w:pStyle w:val="InsideAddressName"/>
      </w:pPr>
    </w:p>
    <w:p w:rsidR="000906E6" w:rsidRDefault="000906E6" w:rsidP="00DB2554">
      <w:pPr>
        <w:pStyle w:val="InsideAddressName"/>
      </w:pPr>
    </w:p>
    <w:p w:rsidR="00D205E4" w:rsidRDefault="00D205E4" w:rsidP="00D205E4">
      <w:r>
        <w:t>2015 Tax Engagement Letter</w:t>
      </w:r>
      <w:r w:rsidR="003F0983">
        <w:t xml:space="preserve"> – Individuals and Sole Proprietors</w:t>
      </w:r>
    </w:p>
    <w:p w:rsidR="00D205E4" w:rsidRDefault="00D205E4" w:rsidP="00D205E4"/>
    <w:p w:rsidR="00D205E4" w:rsidRDefault="00D205E4" w:rsidP="00D205E4"/>
    <w:p w:rsidR="00D205E4" w:rsidRDefault="00D205E4" w:rsidP="00D205E4">
      <w:r>
        <w:t>Dear Client:</w:t>
      </w:r>
    </w:p>
    <w:p w:rsidR="00D205E4" w:rsidRDefault="00D205E4" w:rsidP="00D205E4"/>
    <w:p w:rsidR="00D205E4" w:rsidRDefault="00D205E4" w:rsidP="00D205E4">
      <w:r>
        <w:t>This letter is to confirm and specify the terms of our engagement for the year ended 2015 and to clarify the nature and extent of the tax services we will provide.</w:t>
      </w:r>
    </w:p>
    <w:p w:rsidR="00D205E4" w:rsidRDefault="00D205E4" w:rsidP="00D205E4"/>
    <w:p w:rsidR="00D205E4" w:rsidRDefault="00D205E4" w:rsidP="00DB2554">
      <w:pPr>
        <w:pStyle w:val="InsideAddressName"/>
      </w:pPr>
      <w:r>
        <w:t>We will prepare the federal and state individual income tax returns for the calendar year 2015.  We are not responsible for returns other than the 2015</w:t>
      </w:r>
      <w:r w:rsidR="00A57770">
        <w:t xml:space="preserve"> return </w:t>
      </w:r>
      <w:r>
        <w:t xml:space="preserve">that this </w:t>
      </w:r>
      <w:r w:rsidR="00FD2B54">
        <w:t>engagement</w:t>
      </w:r>
      <w:r>
        <w:t xml:space="preserve"> covers.  We are under no </w:t>
      </w:r>
      <w:r w:rsidR="00FD2B54">
        <w:t>duty to</w:t>
      </w:r>
      <w:r>
        <w:t xml:space="preserve"> review the information you provide to determine whether you may have a filing obligation with another state.  If we become aware of any other filing requirement, we will tell you of the obligation and may prepare the appropriate returns at your request as a separate engagement.</w:t>
      </w:r>
    </w:p>
    <w:p w:rsidR="00D205E4" w:rsidRDefault="00D205E4" w:rsidP="00DB2554">
      <w:pPr>
        <w:pStyle w:val="InsideAddressName"/>
      </w:pPr>
    </w:p>
    <w:p w:rsidR="00D205E4" w:rsidRDefault="00D205E4" w:rsidP="00DB2554">
      <w:pPr>
        <w:pStyle w:val="InsideAddressName"/>
      </w:pPr>
      <w:r>
        <w:t>This engagement letter does not cover the preparation of any financial statements, which, if we are to provide, will be covered under a separate engagement letter.</w:t>
      </w:r>
    </w:p>
    <w:p w:rsidR="00D205E4" w:rsidRDefault="00D205E4" w:rsidP="00DB2554">
      <w:pPr>
        <w:pStyle w:val="InsideAddressName"/>
      </w:pPr>
    </w:p>
    <w:p w:rsidR="00D205E4" w:rsidRDefault="00D205E4" w:rsidP="00DB2554">
      <w:pPr>
        <w:pStyle w:val="InsideAddressName"/>
      </w:pPr>
      <w:r>
        <w:t xml:space="preserve">It is your responsibility to provide all the </w:t>
      </w:r>
      <w:r w:rsidR="00FD2B54">
        <w:t>information</w:t>
      </w:r>
      <w:r>
        <w:t xml:space="preserve"> required for the preparation of complete and accurate returns.  You should retain all the documents, cancelled checks, and other data that </w:t>
      </w:r>
      <w:r w:rsidR="00FD2B54">
        <w:t>form</w:t>
      </w:r>
      <w:r>
        <w:t xml:space="preserve"> the basis of income and deductions.  These may be necessary to prove the accuracy and completeness of the returns to a taxing authority.  You have the final responsibility for the income tax </w:t>
      </w:r>
      <w:r w:rsidR="00FD2B54">
        <w:t>returns</w:t>
      </w:r>
      <w:r>
        <w:t xml:space="preserve"> and, therefore, you should review them carefully before you sign them.</w:t>
      </w:r>
    </w:p>
    <w:p w:rsidR="00D205E4" w:rsidRDefault="00D205E4" w:rsidP="00DB2554">
      <w:pPr>
        <w:pStyle w:val="InsideAddressName"/>
      </w:pPr>
    </w:p>
    <w:p w:rsidR="00D205E4" w:rsidRDefault="005D59F4" w:rsidP="00DB2554">
      <w:pPr>
        <w:pStyle w:val="InsideAddressName"/>
      </w:pPr>
      <w:r>
        <w:t>We may provide you with a questionnaire or other document requesting specific information.  Completing those forms will assist us in making sure you are well served for a reasonable fee.  You represent that the information you are supplying to us is accurate and complete to the best of your knowledge and that you have disclosed to us all relevant facts affecting the returns.  This will include the ownership of or signature authority over any foreign bank accounts and the ownership of any other foreign financial assets.  We will not verify the information you give us; however, we may ask for additional clarification of some information.</w:t>
      </w:r>
    </w:p>
    <w:p w:rsidR="005D59F4" w:rsidRDefault="005D59F4" w:rsidP="00DB2554">
      <w:pPr>
        <w:pStyle w:val="InsideAddressName"/>
      </w:pPr>
    </w:p>
    <w:p w:rsidR="005D59F4" w:rsidRDefault="005D59F4" w:rsidP="00DB2554">
      <w:pPr>
        <w:pStyle w:val="InsideAddressName"/>
      </w:pPr>
      <w:r>
        <w:t>You should also know that IRS audit procedures will almost always include questions on bartering transaction</w:t>
      </w:r>
      <w:r w:rsidR="00A57770">
        <w:t>s</w:t>
      </w:r>
      <w:r>
        <w:t xml:space="preserve"> and on deductions that require strict documentation such as travel and entertainment expenses and expenses for business usage of autos and computers.  In preparing your returns, we rely on your representations that we have been informed of all bartering transaction</w:t>
      </w:r>
      <w:r w:rsidR="00A57770">
        <w:t>s</w:t>
      </w:r>
      <w:r>
        <w:t xml:space="preserve"> and that you understand and have complied with the documentation requirements for your expenses and deductions.</w:t>
      </w:r>
    </w:p>
    <w:p w:rsidR="005D59F4" w:rsidRDefault="005D59F4" w:rsidP="00DB2554">
      <w:pPr>
        <w:pStyle w:val="InsideAddressName"/>
      </w:pPr>
    </w:p>
    <w:p w:rsidR="005D59F4" w:rsidRDefault="005D59F4" w:rsidP="00DB2554">
      <w:pPr>
        <w:pStyle w:val="InsideAddressName"/>
      </w:pPr>
      <w:r>
        <w:t xml:space="preserve">If, during our work, we discover </w:t>
      </w:r>
      <w:r w:rsidR="00791316">
        <w:t>information</w:t>
      </w:r>
      <w:r>
        <w:t xml:space="preserve"> </w:t>
      </w:r>
      <w:r w:rsidR="00791316">
        <w:t>that affects</w:t>
      </w:r>
      <w:r>
        <w:t xml:space="preserve"> prior-year tax returns, we will make you aware of the facts.  However, we cannot be responsible for identifying all items that may affect prior-year return.  If you become aware of such information during the </w:t>
      </w:r>
      <w:r w:rsidR="00287AA0">
        <w:t xml:space="preserve">year, please contact us to </w:t>
      </w:r>
      <w:r w:rsidR="00287AA0">
        <w:lastRenderedPageBreak/>
        <w:t>discuss the best resolution of the issue.  We will be happy to prepare appropriate amended returns as a separate engagement.</w:t>
      </w:r>
    </w:p>
    <w:p w:rsidR="00287AA0" w:rsidRDefault="00287AA0" w:rsidP="00DB2554">
      <w:pPr>
        <w:pStyle w:val="InsideAddressName"/>
      </w:pPr>
    </w:p>
    <w:p w:rsidR="00287AA0" w:rsidRDefault="00287AA0" w:rsidP="00DB2554">
      <w:pPr>
        <w:pStyle w:val="InsideAddressName"/>
      </w:pPr>
      <w:r>
        <w:t>Our work in connection with the preparation of the tax return(s) does not include any procedures designed to discover defalcations or other irregularities, should any exist.  The returns will be prepared solely from information provided to us without verification by us.</w:t>
      </w:r>
    </w:p>
    <w:p w:rsidR="00287AA0" w:rsidRDefault="00287AA0" w:rsidP="00DB2554">
      <w:pPr>
        <w:pStyle w:val="InsideAddressName"/>
      </w:pPr>
    </w:p>
    <w:p w:rsidR="00287AA0" w:rsidRDefault="00287AA0" w:rsidP="00DB2554">
      <w:pPr>
        <w:pStyle w:val="InsideAddressName"/>
      </w:pPr>
      <w:r>
        <w:t>The firm may from time to time, and depe</w:t>
      </w:r>
      <w:r w:rsidR="009C582B">
        <w:t>nding on the circumstances, use</w:t>
      </w:r>
      <w:r>
        <w:t xml:space="preserve"> third-party service providers to assist in preparing your return, but these preparers will not make substantive decisions concerning your return.  We</w:t>
      </w:r>
      <w:r w:rsidR="00791316">
        <w:t xml:space="preserve"> </w:t>
      </w:r>
      <w:r>
        <w:t>may share your tax return information with these service providers, but remain committed to maintaining the confidentiality and security of your information.</w:t>
      </w:r>
      <w:r w:rsidR="00791316">
        <w:t xml:space="preserve">  Accordingly, we maintain internal policies, procedures and safeguards to protect the confidentiality of your personal information.  In addition, we will secure confidentiality agreements with all service providers to maintain</w:t>
      </w:r>
      <w:r w:rsidR="00A57770">
        <w:t xml:space="preserve"> the confidentiality of your information </w:t>
      </w:r>
      <w:r w:rsidR="00791316">
        <w:t xml:space="preserve">and we will take reasonable precautions to determine that they have appropriate procedures in place to prevent the </w:t>
      </w:r>
      <w:r w:rsidR="00A57770">
        <w:t>un</w:t>
      </w:r>
      <w:r w:rsidR="00791316">
        <w:t>authorized release of your confidential information to others.  In the event that we are unable to secure an appropriate confidentiality agreement, you will be asked to provide your consent prior to the sharing of your confidential information with the third-party service provider.  Furthermore, the firm will remain responsible for the work provided by any such third-party service providers.</w:t>
      </w:r>
    </w:p>
    <w:p w:rsidR="00791316" w:rsidRDefault="00791316" w:rsidP="00DB2554">
      <w:pPr>
        <w:pStyle w:val="InsideAddressName"/>
      </w:pPr>
    </w:p>
    <w:p w:rsidR="00791316" w:rsidRDefault="00954FC9" w:rsidP="00DB2554">
      <w:pPr>
        <w:pStyle w:val="InsideAddressName"/>
      </w:pPr>
      <w:r>
        <w:t>In accordance with federal law, in no case will we disclose your tax return information to any location outside the United States, to another tax return preparer outside of our firm for purposes of a second opinion, or to any o</w:t>
      </w:r>
      <w:r w:rsidR="005C49ED">
        <w:t>ther third party for any purpose other than to prepare your return without first receiving your consent.</w:t>
      </w:r>
    </w:p>
    <w:p w:rsidR="005C49ED" w:rsidRDefault="005C49ED" w:rsidP="00DB2554">
      <w:pPr>
        <w:pStyle w:val="InsideAddressName"/>
      </w:pPr>
    </w:p>
    <w:p w:rsidR="005C49ED" w:rsidRDefault="005C49ED" w:rsidP="00DB2554">
      <w:pPr>
        <w:pStyle w:val="InsideAddressName"/>
      </w:pPr>
      <w:r>
        <w:t xml:space="preserve">The Internal Revenue Code and regulations impose preparation and disclosure standards with non-compliance </w:t>
      </w:r>
      <w:r w:rsidR="00493A0D">
        <w:t>penalties</w:t>
      </w:r>
      <w:r>
        <w:t xml:space="preserve"> on both the preparer of a tax return and on the taxpayer.  To avoid expo</w:t>
      </w:r>
      <w:r w:rsidR="00493A0D">
        <w:t>sure</w:t>
      </w:r>
      <w:r>
        <w:t xml:space="preserve"> to the</w:t>
      </w:r>
      <w:r w:rsidR="00493A0D">
        <w:t>se</w:t>
      </w:r>
      <w:r>
        <w:t xml:space="preserve"> </w:t>
      </w:r>
      <w:r w:rsidR="00493A0D">
        <w:t>penalties</w:t>
      </w:r>
      <w:r>
        <w:t xml:space="preserve">, it may be necessary in </w:t>
      </w:r>
      <w:r w:rsidR="00493A0D">
        <w:t>some</w:t>
      </w:r>
      <w:r>
        <w:t xml:space="preserve"> cases to make certain disclosures to you and/or in the tax return concerning positions taken on the return that don’t meet these standards.  Accordingly, we will discuss tax positions that may increase the risk of exposure to penalties and any recommended disclosures with you before completing the preparation of the return.  If we concluded that we are obligated to disclose a position and you refuse to permit the disclosure, we reserve the right to withdraw </w:t>
      </w:r>
      <w:r w:rsidR="00493A0D">
        <w:t>from</w:t>
      </w:r>
      <w:r>
        <w:t xml:space="preserve"> the engagement and you agree to compensate us for our services to the date of withdrawal.  Our engagement with you will terminate upon our </w:t>
      </w:r>
      <w:r w:rsidR="00493A0D">
        <w:t>withdrawal</w:t>
      </w:r>
      <w:r>
        <w:t>.</w:t>
      </w:r>
    </w:p>
    <w:p w:rsidR="005C49ED" w:rsidRDefault="005C49ED" w:rsidP="00DB2554">
      <w:pPr>
        <w:pStyle w:val="InsideAddressName"/>
      </w:pPr>
    </w:p>
    <w:p w:rsidR="005C49ED" w:rsidRDefault="005C49ED" w:rsidP="00DB2554">
      <w:pPr>
        <w:pStyle w:val="InsideAddressName"/>
      </w:pPr>
      <w:r>
        <w:t>The IRS permits you to authorize us to discuss, on a limited basis, aspects of your return for one year after the return’s due date.  You</w:t>
      </w:r>
      <w:r w:rsidR="00493A0D">
        <w:t>r</w:t>
      </w:r>
      <w:r>
        <w:t xml:space="preserve"> consent to such a discussion is </w:t>
      </w:r>
      <w:r w:rsidR="00493A0D">
        <w:t>evidenced by checking a box on the return.  Unless you tell us otherwise, we will check that box authorizing the IRS to discuss your return with us.</w:t>
      </w:r>
    </w:p>
    <w:p w:rsidR="00493A0D" w:rsidRDefault="00493A0D" w:rsidP="00DB2554">
      <w:pPr>
        <w:pStyle w:val="InsideAddressName"/>
      </w:pPr>
    </w:p>
    <w:p w:rsidR="00493A0D" w:rsidRDefault="00493A0D" w:rsidP="00DB2554">
      <w:pPr>
        <w:pStyle w:val="InsideAddressName"/>
      </w:pPr>
      <w:r>
        <w:t xml:space="preserve">It is our policy to keep records related to this engagement for seven years.  However, we do not keep any of your original records, so we will return those to you upon the completion of the engagement.  When records are returned to you, it is your responsibility to retain and protect the </w:t>
      </w:r>
      <w:r>
        <w:lastRenderedPageBreak/>
        <w:t>records for possible future use, including potential examination by governmental or regulatory agencies.</w:t>
      </w:r>
    </w:p>
    <w:p w:rsidR="009E3544" w:rsidRDefault="009E3544" w:rsidP="00DB2554">
      <w:pPr>
        <w:pStyle w:val="InsideAddressName"/>
      </w:pPr>
    </w:p>
    <w:p w:rsidR="009E3544" w:rsidRDefault="009E3544" w:rsidP="00DB2554">
      <w:pPr>
        <w:pStyle w:val="InsideAddressName"/>
      </w:pPr>
      <w:r>
        <w:t xml:space="preserve">By signing this engagement letter, you acknowledge and agree that upon the expiration of the </w:t>
      </w:r>
      <w:r w:rsidR="000E74A7">
        <w:t>seven-year</w:t>
      </w:r>
      <w:r>
        <w:t xml:space="preserve"> period, we are free to destroy our records related to this engagement.</w:t>
      </w:r>
    </w:p>
    <w:p w:rsidR="009E3544" w:rsidRDefault="009E3544" w:rsidP="00DB2554">
      <w:pPr>
        <w:pStyle w:val="InsideAddressName"/>
      </w:pPr>
    </w:p>
    <w:p w:rsidR="009E3544" w:rsidRDefault="009E3544" w:rsidP="00DB2554">
      <w:pPr>
        <w:pStyle w:val="InsideAddressName"/>
      </w:pPr>
      <w:r>
        <w:t xml:space="preserve">Certain communications involving tax advice are </w:t>
      </w:r>
      <w:r w:rsidR="00A2344D">
        <w:t>privileged</w:t>
      </w:r>
      <w:r>
        <w:t xml:space="preserve"> and not subject to disclosure to the IRS.  By disclosing the contents of those communications to anyone, or by turning over information about those communications to the government, you may be waiving this privilege.  To protect this right to privileged communication, please consult with </w:t>
      </w:r>
      <w:r w:rsidR="00A2344D">
        <w:t>u</w:t>
      </w:r>
      <w:r>
        <w:t xml:space="preserve">s or your attorney prior to disclosing any </w:t>
      </w:r>
      <w:r w:rsidR="00A2344D">
        <w:t>information</w:t>
      </w:r>
      <w:r>
        <w:t xml:space="preserve"> about our tax advice.  Should you decide that it is appropriate for us to disclose any potentially privileged communication, you agree to provide us with written, advance authority to make that disclosure.</w:t>
      </w:r>
    </w:p>
    <w:p w:rsidR="009E3544" w:rsidRDefault="009E3544" w:rsidP="00DB2554">
      <w:pPr>
        <w:pStyle w:val="InsideAddressName"/>
      </w:pPr>
    </w:p>
    <w:p w:rsidR="009E3544" w:rsidRDefault="009E3544" w:rsidP="00DB2554">
      <w:pPr>
        <w:pStyle w:val="InsideAddressName"/>
      </w:pPr>
      <w:r>
        <w:t xml:space="preserve">Should we receive any request for the disclosure of privileged information from a third party, including a subpoena or IRS summons, we will notify you.  In the event you direct us not to make the disclosure, you agree to hold us harmless from any expenses incurred in </w:t>
      </w:r>
      <w:r w:rsidR="00A2344D">
        <w:t>defending</w:t>
      </w:r>
      <w:r>
        <w:t xml:space="preserve"> the privilege, including, by way of illustration only, our attorney’s fees, court costs, outside adviser’s costs, or penalties or fines imposed as a result of your asserting the privilege or your direction</w:t>
      </w:r>
      <w:r w:rsidR="00A2344D">
        <w:t xml:space="preserve"> </w:t>
      </w:r>
      <w:r>
        <w:t>to us to assert the privilege.</w:t>
      </w:r>
    </w:p>
    <w:p w:rsidR="009E3544" w:rsidRDefault="009E3544" w:rsidP="00DB2554">
      <w:pPr>
        <w:pStyle w:val="InsideAddressName"/>
      </w:pPr>
    </w:p>
    <w:p w:rsidR="009E3544" w:rsidRDefault="009E3544" w:rsidP="00DB2554">
      <w:pPr>
        <w:pStyle w:val="InsideAddressName"/>
      </w:pPr>
      <w:r>
        <w:t>The return(s) may be selected for review by the taxing authorities.  In the event of an audit, you may be requested to produce documents, records, or other evidence to substantiate the terms of income and deduction shown on a tax return.  Any proposed adjustments by the examining agent are su</w:t>
      </w:r>
      <w:r w:rsidR="00A2344D">
        <w:t>b</w:t>
      </w:r>
      <w:r>
        <w:t>ject to certain rights of appeal.  In the event of a tax examination, we will be available, upon request,</w:t>
      </w:r>
      <w:r w:rsidR="00A2344D">
        <w:t xml:space="preserve"> to represent you.  However, su</w:t>
      </w:r>
      <w:r>
        <w:t>ch additional services are not included in the fees for the preparation of the tax return(s).</w:t>
      </w:r>
    </w:p>
    <w:p w:rsidR="009E3544" w:rsidRDefault="009E3544" w:rsidP="00DB2554">
      <w:pPr>
        <w:pStyle w:val="InsideAddressName"/>
      </w:pPr>
    </w:p>
    <w:p w:rsidR="00392975" w:rsidRDefault="00392975" w:rsidP="00DB2554">
      <w:pPr>
        <w:pStyle w:val="InsideAddressName"/>
      </w:pPr>
      <w:r>
        <w:t xml:space="preserve">Our fees for tax services will be based in part upon the amount of time required at our standard billing rates for the personnel working on the engagement, plus out-of-pocket expenses.  All invoices are due and payable upon presentation.  </w:t>
      </w:r>
    </w:p>
    <w:p w:rsidR="00392975" w:rsidRDefault="00392975" w:rsidP="00DB2554">
      <w:pPr>
        <w:pStyle w:val="InsideAddressName"/>
      </w:pPr>
    </w:p>
    <w:p w:rsidR="00392975" w:rsidRDefault="00392975" w:rsidP="00DB2554">
      <w:pPr>
        <w:pStyle w:val="InsideAddressName"/>
      </w:pPr>
      <w:r>
        <w:t>In the event of a dispute related in any way to our services, our firm and you agree to discuss the dispute and, if necessary, to promptly mediate in a good faith effort to resolve.  We will agree on a mediator, but if we cannot, either of us may apply to a court having personal jurisdiction over the parties for appointment of a mediator.  We will share the mediator’s fees and expenses equally, but otherwise will bear our own attorneys’ fees and mediation cost.  Participation in such mediation shall be a condition to either of us initiating litigation.  In order to allow time for the mediation any applicable statute of limitations shall be tolled for a period not to exceed 120 days from the date either of us first requests in writing to medi</w:t>
      </w:r>
      <w:r w:rsidR="00A57770">
        <w:t xml:space="preserve">ate the dispute.  The mediation </w:t>
      </w:r>
      <w:r>
        <w:t>shall be confidential in all respects, as allowed or required by law, except our final settlement positions at mediatio</w:t>
      </w:r>
      <w:r w:rsidR="00A57770">
        <w:t>n</w:t>
      </w:r>
      <w:r>
        <w:t xml:space="preserve"> shall be admissible in litigation solely to determine the prevailing party’s identity for purposes of the awar</w:t>
      </w:r>
      <w:r w:rsidR="00A57770">
        <w:t>d</w:t>
      </w:r>
      <w:r>
        <w:t xml:space="preserve"> of attorneys’ fees.</w:t>
      </w:r>
    </w:p>
    <w:p w:rsidR="00392975" w:rsidRDefault="00392975" w:rsidP="00DB2554">
      <w:pPr>
        <w:pStyle w:val="InsideAddressName"/>
      </w:pPr>
    </w:p>
    <w:p w:rsidR="00392975" w:rsidRDefault="00392975" w:rsidP="00DB2554">
      <w:pPr>
        <w:pStyle w:val="InsideAddressName"/>
      </w:pPr>
      <w:r>
        <w:t>We have the right to withdraw from</w:t>
      </w:r>
      <w:r w:rsidR="00A57770">
        <w:t xml:space="preserve"> </w:t>
      </w:r>
      <w:r>
        <w:t xml:space="preserve">this engagement, in our discretion, if you don’t provide us with any information we request in a timely manner, refuse to cooperate with our reasonable </w:t>
      </w:r>
      <w:r>
        <w:lastRenderedPageBreak/>
        <w:t>request</w:t>
      </w:r>
      <w:r w:rsidR="00A57770">
        <w:t>s</w:t>
      </w:r>
      <w:r>
        <w:t xml:space="preserve"> or misrepresent any facts.  Our withdrawal will release us from any obligation to complete your return and will constitute completion of our engagement.  You agree to compensate us for our time and out-of-pocket expenses through the date of our withdrawal.</w:t>
      </w:r>
    </w:p>
    <w:p w:rsidR="00392975" w:rsidRDefault="00392975" w:rsidP="00DB2554">
      <w:pPr>
        <w:pStyle w:val="InsideAddressName"/>
      </w:pPr>
    </w:p>
    <w:p w:rsidR="00392975" w:rsidRDefault="00392975" w:rsidP="00DB2554">
      <w:pPr>
        <w:pStyle w:val="InsideAddressName"/>
      </w:pPr>
      <w:r>
        <w:t>If the foregoing correctly sets forth your understanding of our tax engagement, please sign this letter in the space below and return it to our office.  If you disagree with any of these terms, please notify us immediately.</w:t>
      </w:r>
    </w:p>
    <w:p w:rsidR="00392975" w:rsidRDefault="00392975" w:rsidP="00DB2554">
      <w:pPr>
        <w:pStyle w:val="InsideAddressName"/>
      </w:pPr>
    </w:p>
    <w:p w:rsidR="00392975" w:rsidRDefault="00392975" w:rsidP="00DB2554">
      <w:pPr>
        <w:pStyle w:val="InsideAddressName"/>
      </w:pPr>
      <w:r>
        <w:t>We want to express our appreciation for this opportunity to work with you.</w:t>
      </w:r>
    </w:p>
    <w:p w:rsidR="00392975" w:rsidRDefault="00392975" w:rsidP="00DB2554">
      <w:pPr>
        <w:pStyle w:val="InsideAddressName"/>
      </w:pPr>
    </w:p>
    <w:p w:rsidR="00392975" w:rsidRDefault="00392975" w:rsidP="00DB2554">
      <w:pPr>
        <w:pStyle w:val="InsideAddressName"/>
      </w:pPr>
      <w:r>
        <w:t>Sincerely,</w:t>
      </w:r>
    </w:p>
    <w:p w:rsidR="00392975" w:rsidRDefault="00392975" w:rsidP="00DB2554">
      <w:pPr>
        <w:pStyle w:val="InsideAddressName"/>
      </w:pPr>
    </w:p>
    <w:p w:rsidR="00392975" w:rsidRDefault="00392975" w:rsidP="00DB2554">
      <w:pPr>
        <w:pStyle w:val="InsideAddressName"/>
      </w:pPr>
    </w:p>
    <w:p w:rsidR="00A91B83" w:rsidRDefault="00A91B83" w:rsidP="00DB2554">
      <w:pPr>
        <w:pStyle w:val="InsideAddressName"/>
      </w:pPr>
    </w:p>
    <w:p w:rsidR="00A91B83" w:rsidRDefault="00A91B83" w:rsidP="00DB2554">
      <w:pPr>
        <w:pStyle w:val="InsideAddressName"/>
      </w:pPr>
    </w:p>
    <w:p w:rsidR="00392975" w:rsidRPr="00392975" w:rsidRDefault="00392975" w:rsidP="00DB2554">
      <w:pPr>
        <w:pStyle w:val="InsideAddressName"/>
        <w:rPr>
          <w:b/>
        </w:rPr>
      </w:pPr>
      <w:r>
        <w:rPr>
          <w:b/>
        </w:rPr>
        <w:t>AGREED TO AND ACCEPTED THIS _____ DAY OF ______________</w:t>
      </w:r>
    </w:p>
    <w:p w:rsidR="009E3544" w:rsidRDefault="009E3544" w:rsidP="00DB2554">
      <w:pPr>
        <w:pStyle w:val="InsideAddressName"/>
      </w:pPr>
    </w:p>
    <w:p w:rsidR="00A91B83" w:rsidRDefault="00A91B83" w:rsidP="00DB2554">
      <w:pPr>
        <w:pStyle w:val="InsideAddressName"/>
      </w:pPr>
    </w:p>
    <w:p w:rsidR="00A91B83" w:rsidRDefault="00A91B83" w:rsidP="00DB2554">
      <w:pPr>
        <w:pStyle w:val="InsideAddressName"/>
      </w:pPr>
    </w:p>
    <w:p w:rsidR="00A91B83" w:rsidRDefault="00A91B83" w:rsidP="00DB2554">
      <w:pPr>
        <w:pStyle w:val="InsideAddressName"/>
      </w:pPr>
      <w:r>
        <w:t>______________________________________</w:t>
      </w:r>
      <w:r>
        <w:tab/>
        <w:t>____________________________________</w:t>
      </w:r>
    </w:p>
    <w:p w:rsidR="00A91B83" w:rsidRDefault="00A91B83" w:rsidP="00DB2554">
      <w:pPr>
        <w:pStyle w:val="InsideAddressName"/>
      </w:pPr>
      <w:r>
        <w:t>Signature</w:t>
      </w:r>
      <w:r>
        <w:tab/>
      </w:r>
      <w:r>
        <w:tab/>
      </w:r>
      <w:r>
        <w:tab/>
      </w:r>
      <w:r>
        <w:tab/>
      </w:r>
      <w:r>
        <w:tab/>
      </w:r>
      <w:r>
        <w:tab/>
        <w:t>Signature</w:t>
      </w:r>
    </w:p>
    <w:p w:rsidR="00A91B83" w:rsidRDefault="00A91B83" w:rsidP="00DB2554">
      <w:pPr>
        <w:pStyle w:val="InsideAddressName"/>
      </w:pPr>
    </w:p>
    <w:p w:rsidR="00A91B83" w:rsidRDefault="00A91B83" w:rsidP="00DB2554">
      <w:pPr>
        <w:pStyle w:val="InsideAddressName"/>
      </w:pPr>
    </w:p>
    <w:p w:rsidR="00A91B83" w:rsidRDefault="00A91B83" w:rsidP="00DB2554">
      <w:pPr>
        <w:pStyle w:val="InsideAddressName"/>
      </w:pPr>
      <w:r>
        <w:t>______________________________________</w:t>
      </w:r>
      <w:r>
        <w:tab/>
        <w:t>____________________________________</w:t>
      </w:r>
    </w:p>
    <w:p w:rsidR="00A91B83" w:rsidRDefault="00A91B83" w:rsidP="00DB2554">
      <w:pPr>
        <w:pStyle w:val="InsideAddressName"/>
      </w:pPr>
      <w:r>
        <w:t>Printed Name</w:t>
      </w:r>
      <w:r>
        <w:tab/>
      </w:r>
      <w:r>
        <w:tab/>
      </w:r>
      <w:r>
        <w:tab/>
      </w:r>
      <w:r>
        <w:tab/>
      </w:r>
      <w:r>
        <w:tab/>
      </w:r>
      <w:r>
        <w:tab/>
        <w:t>Printed Name</w:t>
      </w: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bookmarkStart w:id="0" w:name="_GoBack"/>
      <w:bookmarkEnd w:id="0"/>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Default="00CE72BB" w:rsidP="00DB2554">
      <w:pPr>
        <w:pStyle w:val="InsideAddressName"/>
      </w:pPr>
    </w:p>
    <w:p w:rsidR="00CE72BB" w:rsidRPr="00CE72BB" w:rsidRDefault="00CE72BB" w:rsidP="00DB2554">
      <w:pPr>
        <w:pStyle w:val="InsideAddressName"/>
        <w:rPr>
          <w:sz w:val="20"/>
          <w:szCs w:val="20"/>
        </w:rPr>
      </w:pPr>
      <w:r w:rsidRPr="00CE72BB">
        <w:rPr>
          <w:sz w:val="20"/>
          <w:szCs w:val="20"/>
        </w:rPr>
        <w:t>N:/Share/Pserver/Mainsharred/Forms and Docs/Tax/2015 Tax Engagement Letter - Individuals</w:t>
      </w:r>
    </w:p>
    <w:sectPr w:rsidR="00CE72BB" w:rsidRPr="00CE72BB" w:rsidSect="000906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AF" w:rsidRDefault="006707AF">
      <w:r>
        <w:separator/>
      </w:r>
    </w:p>
  </w:endnote>
  <w:endnote w:type="continuationSeparator" w:id="0">
    <w:p w:rsidR="006707AF" w:rsidRDefault="0067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44" w:rsidRDefault="00075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23" w:rsidRDefault="000906E6">
    <w:pPr>
      <w:pStyle w:val="Footer"/>
      <w:jc w:val="cente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wp:posOffset>
              </wp:positionV>
              <wp:extent cx="5943600" cy="0"/>
              <wp:effectExtent l="9525" t="13970" r="952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648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"/>
          </w:pict>
        </mc:Fallback>
      </mc:AlternateContent>
    </w:r>
  </w:p>
  <w:p w:rsidR="00694923" w:rsidRDefault="002910A6">
    <w:pPr>
      <w:pStyle w:val="Footer"/>
      <w:jc w:val="center"/>
      <w:rPr>
        <w:sz w:val="20"/>
        <w:szCs w:val="20"/>
      </w:rPr>
    </w:pPr>
    <w:r>
      <w:rPr>
        <w:rStyle w:val="PageNumber"/>
        <w:sz w:val="20"/>
        <w:szCs w:val="20"/>
      </w:rPr>
      <w:fldChar w:fldCharType="begin"/>
    </w:r>
    <w:r w:rsidR="00694923">
      <w:rPr>
        <w:rStyle w:val="PageNumber"/>
        <w:sz w:val="20"/>
        <w:szCs w:val="20"/>
      </w:rPr>
      <w:instrText xml:space="preserve"> PAGE </w:instrText>
    </w:r>
    <w:r>
      <w:rPr>
        <w:rStyle w:val="PageNumber"/>
        <w:sz w:val="20"/>
        <w:szCs w:val="20"/>
      </w:rPr>
      <w:fldChar w:fldCharType="separate"/>
    </w:r>
    <w:r w:rsidR="00CE72BB">
      <w:rPr>
        <w:rStyle w:val="PageNumber"/>
        <w:noProof/>
        <w:sz w:val="20"/>
        <w:szCs w:val="20"/>
      </w:rPr>
      <w:t>4</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23" w:rsidRDefault="000906E6" w:rsidP="00AC7631">
    <w:pPr>
      <w:pStyle w:val="Footer"/>
      <w:jc w:val="cente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594360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A5D3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"/>
          </w:pict>
        </mc:Fallback>
      </mc:AlternateContent>
    </w:r>
  </w:p>
  <w:p w:rsidR="00694923" w:rsidRDefault="00392BA4" w:rsidP="00AC7631">
    <w:pPr>
      <w:pStyle w:val="Footer"/>
      <w:jc w:val="center"/>
      <w:rPr>
        <w:sz w:val="20"/>
        <w:szCs w:val="20"/>
      </w:rPr>
    </w:pPr>
    <w:r>
      <w:rPr>
        <w:sz w:val="20"/>
        <w:szCs w:val="20"/>
      </w:rPr>
      <w:t>2551 NW Loop, Suite A</w:t>
    </w:r>
    <w:r w:rsidR="00694923">
      <w:rPr>
        <w:sz w:val="20"/>
        <w:szCs w:val="20"/>
      </w:rPr>
      <w:t xml:space="preserve"> * Stephenville, Texas 76401 * 254.965.3330</w:t>
    </w:r>
    <w:r w:rsidR="00075F44">
      <w:rPr>
        <w:sz w:val="20"/>
        <w:szCs w:val="20"/>
      </w:rPr>
      <w:t>, Fax 254,865-3335</w:t>
    </w:r>
  </w:p>
  <w:p w:rsidR="00EF378B" w:rsidRDefault="00EF378B" w:rsidP="00EF378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AF" w:rsidRDefault="006707AF">
      <w:r>
        <w:separator/>
      </w:r>
    </w:p>
  </w:footnote>
  <w:footnote w:type="continuationSeparator" w:id="0">
    <w:p w:rsidR="006707AF" w:rsidRDefault="0067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44" w:rsidRDefault="00075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23" w:rsidRDefault="00694923">
    <w:pPr>
      <w:pStyle w:val="Header"/>
      <w:tabs>
        <w:tab w:val="left" w:pos="5400"/>
      </w:tabs>
      <w:rPr>
        <w:rFonts w:ascii="Monotype Corsiva" w:hAnsi="Monotype Corsiva" w:cs="Monotype Corsiva"/>
        <w:sz w:val="20"/>
        <w:szCs w:val="20"/>
      </w:rPr>
    </w:pPr>
    <w:r>
      <w:rPr>
        <w:b/>
        <w:bCs/>
      </w:rPr>
      <w:t>Blake M. Briscoe</w:t>
    </w:r>
    <w:r>
      <w:rPr>
        <w:sz w:val="20"/>
        <w:szCs w:val="20"/>
      </w:rPr>
      <w:tab/>
    </w:r>
    <w:r>
      <w:rPr>
        <w:sz w:val="20"/>
        <w:szCs w:val="20"/>
      </w:rPr>
      <w:tab/>
    </w:r>
  </w:p>
  <w:p w:rsidR="00694923" w:rsidRDefault="00694923">
    <w:pPr>
      <w:pStyle w:val="Header"/>
      <w:tabs>
        <w:tab w:val="left" w:pos="5400"/>
      </w:tabs>
      <w:rPr>
        <w:rFonts w:ascii="Monotype Corsiva" w:hAnsi="Monotype Corsiva" w:cs="Monotype Corsiva"/>
        <w:sz w:val="20"/>
        <w:szCs w:val="20"/>
      </w:rPr>
    </w:pPr>
    <w:r>
      <w:rPr>
        <w:rFonts w:ascii="Monotype Corsiva" w:hAnsi="Monotype Corsiva" w:cs="Monotype Corsiva"/>
        <w:sz w:val="20"/>
        <w:szCs w:val="20"/>
      </w:rPr>
      <w:t>Certified Public Accountant</w:t>
    </w:r>
  </w:p>
  <w:p w:rsidR="00694923" w:rsidRDefault="00694923">
    <w:pPr>
      <w:pStyle w:val="Header"/>
      <w:tabs>
        <w:tab w:val="left" w:pos="5400"/>
      </w:tabs>
      <w:rPr>
        <w:rFonts w:ascii="Monotype Corsiva" w:hAnsi="Monotype Corsiva" w:cs="Monotype Corsiva"/>
        <w:sz w:val="20"/>
        <w:szCs w:val="20"/>
      </w:rPr>
    </w:pPr>
  </w:p>
  <w:p w:rsidR="00694923" w:rsidRDefault="00694923">
    <w:pPr>
      <w:pStyle w:val="Header"/>
      <w:tabs>
        <w:tab w:val="left" w:pos="5400"/>
      </w:tabs>
      <w:rPr>
        <w:sz w:val="18"/>
        <w:szCs w:val="18"/>
      </w:rPr>
    </w:pPr>
    <w:r>
      <w:rPr>
        <w:sz w:val="18"/>
        <w:szCs w:val="18"/>
      </w:rPr>
      <w:tab/>
    </w:r>
    <w:r>
      <w:rPr>
        <w:sz w:val="18"/>
        <w:szCs w:val="18"/>
      </w:rPr>
      <w:tab/>
    </w:r>
    <w:r w:rsidR="000906E6">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108585</wp:posOffset>
              </wp:positionV>
              <wp:extent cx="5943600" cy="0"/>
              <wp:effectExtent l="9525" t="13335" r="9525" b="571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86A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6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dH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23" w:rsidRDefault="00694923" w:rsidP="000E670D">
    <w:pPr>
      <w:pStyle w:val="Header"/>
      <w:tabs>
        <w:tab w:val="left" w:pos="5400"/>
      </w:tabs>
      <w:rPr>
        <w:rFonts w:ascii="Monotype Corsiva" w:hAnsi="Monotype Corsiva" w:cs="Monotype Corsiva"/>
        <w:sz w:val="20"/>
        <w:szCs w:val="20"/>
      </w:rPr>
    </w:pPr>
    <w:r>
      <w:rPr>
        <w:b/>
        <w:bCs/>
        <w:sz w:val="40"/>
        <w:szCs w:val="40"/>
      </w:rPr>
      <w:t>Blake M. Briscoe, CPA P.C.</w:t>
    </w:r>
    <w:r>
      <w:rPr>
        <w:sz w:val="20"/>
        <w:szCs w:val="20"/>
      </w:rPr>
      <w:tab/>
    </w:r>
    <w:r>
      <w:rPr>
        <w:sz w:val="18"/>
        <w:szCs w:val="18"/>
      </w:rPr>
      <w:t>Member:</w:t>
    </w:r>
  </w:p>
  <w:p w:rsidR="00694923" w:rsidRDefault="00694923" w:rsidP="000E670D">
    <w:pPr>
      <w:pStyle w:val="Header"/>
      <w:tabs>
        <w:tab w:val="left" w:pos="5400"/>
      </w:tabs>
      <w:rPr>
        <w:sz w:val="18"/>
        <w:szCs w:val="18"/>
      </w:rPr>
    </w:pPr>
    <w:r w:rsidRPr="008A08B3">
      <w:rPr>
        <w:rFonts w:cs="Monotype Corsiva"/>
        <w:i/>
      </w:rPr>
      <w:t>Certified Public Accountants</w:t>
    </w:r>
    <w:r>
      <w:rPr>
        <w:sz w:val="18"/>
        <w:szCs w:val="18"/>
      </w:rPr>
      <w:tab/>
    </w:r>
    <w:r>
      <w:rPr>
        <w:sz w:val="18"/>
        <w:szCs w:val="18"/>
      </w:rPr>
      <w:tab/>
      <w:t>American Institute of Certified Public Accountants</w:t>
    </w:r>
  </w:p>
  <w:p w:rsidR="00694923" w:rsidRDefault="000906E6" w:rsidP="000E670D">
    <w:pPr>
      <w:pStyle w:val="Header"/>
      <w:tabs>
        <w:tab w:val="left" w:pos="5400"/>
      </w:tabs>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5943600" cy="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B3B0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6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"/>
          </w:pict>
        </mc:Fallback>
      </mc:AlternateContent>
    </w:r>
  </w:p>
  <w:p w:rsidR="00694923" w:rsidRDefault="0069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3593"/>
    <w:multiLevelType w:val="hybridMultilevel"/>
    <w:tmpl w:val="1A12A36A"/>
    <w:lvl w:ilvl="0" w:tplc="800A65C2">
      <w:start w:val="1"/>
      <w:numFmt w:val="bullet"/>
      <w:lvlText w:val=""/>
      <w:lvlJc w:val="left"/>
      <w:pPr>
        <w:tabs>
          <w:tab w:val="num" w:pos="633"/>
        </w:tabs>
        <w:ind w:left="633" w:hanging="360"/>
      </w:pPr>
      <w:rPr>
        <w:rFonts w:ascii="Symbol" w:hAnsi="Symbol" w:cs="Symbol" w:hint="default"/>
        <w:sz w:val="22"/>
        <w:szCs w:val="22"/>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Marlett" w:hAnsi="Marlett" w:cs="Marlett" w:hint="default"/>
      </w:rPr>
    </w:lvl>
    <w:lvl w:ilvl="3" w:tplc="04090001">
      <w:start w:val="1"/>
      <w:numFmt w:val="bullet"/>
      <w:lvlText w:val=""/>
      <w:lvlJc w:val="left"/>
      <w:pPr>
        <w:tabs>
          <w:tab w:val="num" w:pos="2937"/>
        </w:tabs>
        <w:ind w:left="2937" w:hanging="360"/>
      </w:pPr>
      <w:rPr>
        <w:rFonts w:ascii="Symbol" w:hAnsi="Symbol" w:cs="Symbol"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Marlett" w:hAnsi="Marlett" w:cs="Marlett" w:hint="default"/>
      </w:rPr>
    </w:lvl>
    <w:lvl w:ilvl="6" w:tplc="04090001">
      <w:start w:val="1"/>
      <w:numFmt w:val="bullet"/>
      <w:lvlText w:val=""/>
      <w:lvlJc w:val="left"/>
      <w:pPr>
        <w:tabs>
          <w:tab w:val="num" w:pos="5097"/>
        </w:tabs>
        <w:ind w:left="5097" w:hanging="360"/>
      </w:pPr>
      <w:rPr>
        <w:rFonts w:ascii="Symbol" w:hAnsi="Symbol" w:cs="Symbol"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Marlett" w:hAnsi="Marlett" w:cs="Marlett" w:hint="default"/>
      </w:rPr>
    </w:lvl>
  </w:abstractNum>
  <w:abstractNum w:abstractNumId="1" w15:restartNumberingAfterBreak="0">
    <w:nsid w:val="407C0AF6"/>
    <w:multiLevelType w:val="hybridMultilevel"/>
    <w:tmpl w:val="6F26788E"/>
    <w:lvl w:ilvl="0" w:tplc="0CAA5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385346"/>
    <w:multiLevelType w:val="hybridMultilevel"/>
    <w:tmpl w:val="C51C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20F50"/>
    <w:multiLevelType w:val="hybridMultilevel"/>
    <w:tmpl w:val="3422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A6EA6"/>
    <w:multiLevelType w:val="hybridMultilevel"/>
    <w:tmpl w:val="57F49A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E690370"/>
    <w:multiLevelType w:val="hybridMultilevel"/>
    <w:tmpl w:val="4FF6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BD"/>
    <w:rsid w:val="000363C8"/>
    <w:rsid w:val="00075F44"/>
    <w:rsid w:val="000906E6"/>
    <w:rsid w:val="000A5C3C"/>
    <w:rsid w:val="000C0141"/>
    <w:rsid w:val="000E670D"/>
    <w:rsid w:val="000E74A7"/>
    <w:rsid w:val="00106828"/>
    <w:rsid w:val="00116799"/>
    <w:rsid w:val="00181C39"/>
    <w:rsid w:val="0018226A"/>
    <w:rsid w:val="001B0CC3"/>
    <w:rsid w:val="001E0A04"/>
    <w:rsid w:val="001E32DA"/>
    <w:rsid w:val="002268AB"/>
    <w:rsid w:val="0027630D"/>
    <w:rsid w:val="00287AA0"/>
    <w:rsid w:val="002910A6"/>
    <w:rsid w:val="002927B1"/>
    <w:rsid w:val="002D2FD9"/>
    <w:rsid w:val="002F4C65"/>
    <w:rsid w:val="00300F08"/>
    <w:rsid w:val="003203F8"/>
    <w:rsid w:val="00361A23"/>
    <w:rsid w:val="00392975"/>
    <w:rsid w:val="00392BA4"/>
    <w:rsid w:val="003E1CFB"/>
    <w:rsid w:val="003F0983"/>
    <w:rsid w:val="003F2519"/>
    <w:rsid w:val="004077FA"/>
    <w:rsid w:val="00435998"/>
    <w:rsid w:val="00471041"/>
    <w:rsid w:val="00471D7D"/>
    <w:rsid w:val="00493A0D"/>
    <w:rsid w:val="004A084A"/>
    <w:rsid w:val="004B4603"/>
    <w:rsid w:val="004B795E"/>
    <w:rsid w:val="00507C06"/>
    <w:rsid w:val="00581946"/>
    <w:rsid w:val="0059407D"/>
    <w:rsid w:val="005A5943"/>
    <w:rsid w:val="005B1F00"/>
    <w:rsid w:val="005C49ED"/>
    <w:rsid w:val="005D59F4"/>
    <w:rsid w:val="005E5C65"/>
    <w:rsid w:val="0063135A"/>
    <w:rsid w:val="00662D62"/>
    <w:rsid w:val="006671C4"/>
    <w:rsid w:val="006707AF"/>
    <w:rsid w:val="0067656E"/>
    <w:rsid w:val="00694923"/>
    <w:rsid w:val="00697EBE"/>
    <w:rsid w:val="006C2F1E"/>
    <w:rsid w:val="006C7944"/>
    <w:rsid w:val="006D7DC7"/>
    <w:rsid w:val="006E41E2"/>
    <w:rsid w:val="00741D11"/>
    <w:rsid w:val="00777EB9"/>
    <w:rsid w:val="00791316"/>
    <w:rsid w:val="007934D0"/>
    <w:rsid w:val="007E00C4"/>
    <w:rsid w:val="00833C74"/>
    <w:rsid w:val="008343DC"/>
    <w:rsid w:val="0084276F"/>
    <w:rsid w:val="00870F18"/>
    <w:rsid w:val="00887982"/>
    <w:rsid w:val="008A08B3"/>
    <w:rsid w:val="008B54A2"/>
    <w:rsid w:val="008E271B"/>
    <w:rsid w:val="00912287"/>
    <w:rsid w:val="00954FC9"/>
    <w:rsid w:val="009718AA"/>
    <w:rsid w:val="00982F7F"/>
    <w:rsid w:val="009B6A7C"/>
    <w:rsid w:val="009C582B"/>
    <w:rsid w:val="009E3544"/>
    <w:rsid w:val="009F6765"/>
    <w:rsid w:val="00A000BD"/>
    <w:rsid w:val="00A10BC3"/>
    <w:rsid w:val="00A2344D"/>
    <w:rsid w:val="00A57770"/>
    <w:rsid w:val="00A91B83"/>
    <w:rsid w:val="00AB04E8"/>
    <w:rsid w:val="00AB2A98"/>
    <w:rsid w:val="00AC7631"/>
    <w:rsid w:val="00AD2A24"/>
    <w:rsid w:val="00AD6F25"/>
    <w:rsid w:val="00AF71A2"/>
    <w:rsid w:val="00B52B26"/>
    <w:rsid w:val="00B53534"/>
    <w:rsid w:val="00B94316"/>
    <w:rsid w:val="00BF2A67"/>
    <w:rsid w:val="00C07701"/>
    <w:rsid w:val="00C1526A"/>
    <w:rsid w:val="00C2749D"/>
    <w:rsid w:val="00C32E34"/>
    <w:rsid w:val="00C91CB8"/>
    <w:rsid w:val="00CC5014"/>
    <w:rsid w:val="00CE72BB"/>
    <w:rsid w:val="00CE7C38"/>
    <w:rsid w:val="00D149E2"/>
    <w:rsid w:val="00D205E4"/>
    <w:rsid w:val="00D37027"/>
    <w:rsid w:val="00DB2554"/>
    <w:rsid w:val="00DC0D56"/>
    <w:rsid w:val="00DD357F"/>
    <w:rsid w:val="00E119EF"/>
    <w:rsid w:val="00E129A9"/>
    <w:rsid w:val="00E40AC6"/>
    <w:rsid w:val="00E43152"/>
    <w:rsid w:val="00E50D69"/>
    <w:rsid w:val="00E51BA0"/>
    <w:rsid w:val="00E65D1E"/>
    <w:rsid w:val="00E85C6E"/>
    <w:rsid w:val="00E951C4"/>
    <w:rsid w:val="00ED6F78"/>
    <w:rsid w:val="00EE47A0"/>
    <w:rsid w:val="00EE76C0"/>
    <w:rsid w:val="00EF378B"/>
    <w:rsid w:val="00F104E0"/>
    <w:rsid w:val="00F50ADA"/>
    <w:rsid w:val="00F70CEA"/>
    <w:rsid w:val="00FD2B54"/>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1792B46"/>
  <w15:docId w15:val="{BEF39373-EAD7-4BD3-AB5A-D28F421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BD"/>
    <w:rPr>
      <w:sz w:val="24"/>
      <w:szCs w:val="24"/>
    </w:rPr>
  </w:style>
  <w:style w:type="paragraph" w:styleId="Heading1">
    <w:name w:val="heading 1"/>
    <w:basedOn w:val="Normal"/>
    <w:next w:val="Normal"/>
    <w:qFormat/>
    <w:rsid w:val="00A000BD"/>
    <w:pPr>
      <w:keepNext/>
      <w:ind w:left="57"/>
      <w:outlineLvl w:val="0"/>
    </w:pPr>
    <w:rPr>
      <w:b/>
      <w:bCs/>
      <w:sz w:val="22"/>
      <w:szCs w:val="22"/>
    </w:rPr>
  </w:style>
  <w:style w:type="paragraph" w:styleId="Heading2">
    <w:name w:val="heading 2"/>
    <w:basedOn w:val="Normal"/>
    <w:next w:val="Normal"/>
    <w:qFormat/>
    <w:rsid w:val="00A000BD"/>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0BD"/>
    <w:pPr>
      <w:tabs>
        <w:tab w:val="center" w:pos="4320"/>
        <w:tab w:val="right" w:pos="8640"/>
      </w:tabs>
    </w:pPr>
  </w:style>
  <w:style w:type="paragraph" w:styleId="Footer">
    <w:name w:val="footer"/>
    <w:basedOn w:val="Normal"/>
    <w:rsid w:val="00A000BD"/>
    <w:pPr>
      <w:tabs>
        <w:tab w:val="center" w:pos="4320"/>
        <w:tab w:val="right" w:pos="8640"/>
      </w:tabs>
    </w:pPr>
  </w:style>
  <w:style w:type="paragraph" w:styleId="BodyText">
    <w:name w:val="Body Text"/>
    <w:basedOn w:val="Normal"/>
    <w:rsid w:val="00A000BD"/>
    <w:rPr>
      <w:sz w:val="22"/>
      <w:szCs w:val="22"/>
    </w:rPr>
  </w:style>
  <w:style w:type="character" w:styleId="PageNumber">
    <w:name w:val="page number"/>
    <w:basedOn w:val="DefaultParagraphFont"/>
    <w:rsid w:val="00A000BD"/>
  </w:style>
  <w:style w:type="paragraph" w:styleId="BodyTextIndent">
    <w:name w:val="Body Text Indent"/>
    <w:basedOn w:val="Normal"/>
    <w:rsid w:val="00A000BD"/>
    <w:pPr>
      <w:jc w:val="both"/>
    </w:pPr>
  </w:style>
  <w:style w:type="paragraph" w:customStyle="1" w:styleId="HTMLBody">
    <w:name w:val="HTML Body"/>
    <w:rsid w:val="00C1526A"/>
    <w:pPr>
      <w:widowControl w:val="0"/>
      <w:autoSpaceDE w:val="0"/>
      <w:autoSpaceDN w:val="0"/>
      <w:adjustRightInd w:val="0"/>
    </w:pPr>
    <w:rPr>
      <w:rFonts w:ascii="Arial" w:hAnsi="Arial" w:cs="Arial"/>
    </w:rPr>
  </w:style>
  <w:style w:type="paragraph" w:styleId="BalloonText">
    <w:name w:val="Balloon Text"/>
    <w:basedOn w:val="Normal"/>
    <w:semiHidden/>
    <w:rsid w:val="00C1526A"/>
    <w:rPr>
      <w:rFonts w:ascii="Tahoma" w:hAnsi="Tahoma" w:cs="Tahoma"/>
      <w:sz w:val="16"/>
      <w:szCs w:val="16"/>
    </w:rPr>
  </w:style>
  <w:style w:type="paragraph" w:customStyle="1" w:styleId="InsideAddressName">
    <w:name w:val="Inside Address Name"/>
    <w:basedOn w:val="Normal"/>
    <w:rsid w:val="00DB2554"/>
  </w:style>
  <w:style w:type="paragraph" w:customStyle="1" w:styleId="InsideAddress">
    <w:name w:val="Inside Address"/>
    <w:basedOn w:val="Normal"/>
    <w:rsid w:val="00DB2554"/>
  </w:style>
  <w:style w:type="paragraph" w:styleId="Salutation">
    <w:name w:val="Salutation"/>
    <w:basedOn w:val="Normal"/>
    <w:next w:val="Normal"/>
    <w:rsid w:val="00DB2554"/>
  </w:style>
  <w:style w:type="paragraph" w:styleId="Date">
    <w:name w:val="Date"/>
    <w:basedOn w:val="Normal"/>
    <w:next w:val="Normal"/>
    <w:rsid w:val="00DB2554"/>
  </w:style>
  <w:style w:type="paragraph" w:styleId="Closing">
    <w:name w:val="Closing"/>
    <w:basedOn w:val="Normal"/>
    <w:rsid w:val="00DB2554"/>
  </w:style>
  <w:style w:type="paragraph" w:styleId="Signature">
    <w:name w:val="Signature"/>
    <w:basedOn w:val="Normal"/>
    <w:rsid w:val="00DB2554"/>
  </w:style>
  <w:style w:type="paragraph" w:styleId="ListParagraph">
    <w:name w:val="List Paragraph"/>
    <w:basedOn w:val="Normal"/>
    <w:uiPriority w:val="34"/>
    <w:qFormat/>
    <w:rsid w:val="00AD6F25"/>
    <w:pPr>
      <w:ind w:left="720"/>
      <w:contextualSpacing/>
    </w:pPr>
  </w:style>
  <w:style w:type="character" w:styleId="Hyperlink">
    <w:name w:val="Hyperlink"/>
    <w:basedOn w:val="DefaultParagraphFont"/>
    <w:uiPriority w:val="99"/>
    <w:unhideWhenUsed/>
    <w:rsid w:val="00AD6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56D0-2942-4A39-AA40-343C0335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1659</Words>
  <Characters>8865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April 3, 2004</vt:lpstr>
    </vt:vector>
  </TitlesOfParts>
  <Company>Mosher, Seifert &amp; Co.</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 2004</dc:title>
  <dc:creator>User</dc:creator>
  <cp:lastModifiedBy>Celeste Tassione</cp:lastModifiedBy>
  <cp:revision>3</cp:revision>
  <cp:lastPrinted>2016-01-15T18:25:00Z</cp:lastPrinted>
  <dcterms:created xsi:type="dcterms:W3CDTF">2016-01-15T18:23:00Z</dcterms:created>
  <dcterms:modified xsi:type="dcterms:W3CDTF">2016-01-15T18:25:00Z</dcterms:modified>
</cp:coreProperties>
</file>